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BD" w:rsidRDefault="00540C6B">
      <w:pPr>
        <w:spacing w:before="77" w:line="274" w:lineRule="exact"/>
        <w:ind w:left="2394"/>
        <w:rPr>
          <w:b/>
          <w:sz w:val="24"/>
        </w:rPr>
      </w:pPr>
      <w:r>
        <w:rPr>
          <w:b/>
          <w:color w:val="212121"/>
          <w:sz w:val="24"/>
          <w:u w:val="thick" w:color="212121"/>
        </w:rPr>
        <w:t>245 - Classification of Employment Definitions</w:t>
      </w:r>
    </w:p>
    <w:p w:rsidR="00D434BD" w:rsidRDefault="00540C6B">
      <w:pPr>
        <w:spacing w:line="274" w:lineRule="exact"/>
        <w:ind w:left="3717" w:right="3735"/>
        <w:jc w:val="center"/>
        <w:rPr>
          <w:sz w:val="24"/>
        </w:rPr>
      </w:pPr>
      <w:r>
        <w:rPr>
          <w:color w:val="212121"/>
          <w:sz w:val="24"/>
        </w:rPr>
        <w:t>Amended 01/08/2018</w:t>
      </w:r>
    </w:p>
    <w:p w:rsidR="00D434BD" w:rsidRDefault="00D434BD">
      <w:pPr>
        <w:pStyle w:val="BodyText"/>
        <w:spacing w:before="6"/>
        <w:rPr>
          <w:sz w:val="24"/>
        </w:rPr>
      </w:pPr>
    </w:p>
    <w:p w:rsidR="00D434BD" w:rsidRDefault="00540C6B">
      <w:pPr>
        <w:pStyle w:val="Heading1"/>
        <w:spacing w:before="1"/>
      </w:pPr>
      <w:r>
        <w:rPr>
          <w:color w:val="212121"/>
        </w:rPr>
        <w:t>Regular Full-Time, Teaching Employees (Salary; Exempt)</w:t>
      </w:r>
    </w:p>
    <w:p w:rsidR="00D434BD" w:rsidRDefault="00540C6B">
      <w:pPr>
        <w:pStyle w:val="BodyText"/>
        <w:ind w:left="100" w:right="113"/>
        <w:jc w:val="both"/>
      </w:pPr>
      <w:r>
        <w:rPr>
          <w:color w:val="212121"/>
        </w:rPr>
        <w:t>Employees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whose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primary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responsibility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duty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teaching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facilitation 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learning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classroom and works the required schedule (as defined in the Letter of Employment) on a regular basis. These employees are not required to be  paid  overtime  in  accordance  with  applicable  federal  wage  and  hour laws for work performed beyond that wh</w:t>
      </w:r>
      <w:r>
        <w:rPr>
          <w:color w:val="212121"/>
        </w:rPr>
        <w:t>ich is outlined in the Letter of Employment in any given workweek.</w:t>
      </w:r>
    </w:p>
    <w:p w:rsidR="00D434BD" w:rsidRDefault="00D434BD">
      <w:pPr>
        <w:pStyle w:val="BodyText"/>
        <w:spacing w:before="3"/>
      </w:pPr>
    </w:p>
    <w:p w:rsidR="00D434BD" w:rsidRDefault="00540C6B">
      <w:pPr>
        <w:pStyle w:val="Heading1"/>
      </w:pPr>
      <w:r>
        <w:rPr>
          <w:color w:val="212121"/>
        </w:rPr>
        <w:t>Regular Full-Time, Non-Teaching Employees (Salary; Exempt)</w:t>
      </w:r>
    </w:p>
    <w:p w:rsidR="00D434BD" w:rsidRDefault="00540C6B">
      <w:pPr>
        <w:pStyle w:val="BodyText"/>
        <w:ind w:left="100" w:right="113"/>
        <w:jc w:val="both"/>
      </w:pPr>
      <w:r>
        <w:rPr>
          <w:color w:val="212121"/>
        </w:rPr>
        <w:t xml:space="preserve">Employees whose primary responsibility and duty is other than teaching and facilitation of learning in a classroom and works the </w:t>
      </w:r>
      <w:r>
        <w:rPr>
          <w:color w:val="212121"/>
        </w:rPr>
        <w:t>required schedule (as defined in the Letter of Employment) on a regular basis. Employees are not required to be paid  overtime  in  accordance  with  applicable  federal  wage  and  hour laws for work performed beyond that which is outlined in the Letter o</w:t>
      </w:r>
      <w:r>
        <w:rPr>
          <w:color w:val="212121"/>
        </w:rPr>
        <w:t>f Employment in any given workweek.</w:t>
      </w:r>
    </w:p>
    <w:p w:rsidR="00D434BD" w:rsidRDefault="00D434BD">
      <w:pPr>
        <w:pStyle w:val="BodyText"/>
        <w:spacing w:before="3"/>
      </w:pPr>
    </w:p>
    <w:p w:rsidR="00D434BD" w:rsidRDefault="00540C6B">
      <w:pPr>
        <w:pStyle w:val="Heading1"/>
      </w:pPr>
      <w:r>
        <w:rPr>
          <w:color w:val="212121"/>
        </w:rPr>
        <w:t>Regular Full-Time, Full-Year, Non-Teaching Employees (Hourly; Non-Exempt)</w:t>
      </w:r>
    </w:p>
    <w:p w:rsidR="00D434BD" w:rsidRDefault="00540C6B">
      <w:pPr>
        <w:pStyle w:val="BodyText"/>
        <w:ind w:left="100" w:right="113"/>
        <w:jc w:val="both"/>
      </w:pPr>
      <w:r>
        <w:rPr>
          <w:color w:val="212121"/>
        </w:rPr>
        <w:t>Employees whose primary responsibility and duty is other than teaching and facilitation of learning in a classroom and works the required schedul</w:t>
      </w:r>
      <w:r>
        <w:rPr>
          <w:color w:val="212121"/>
        </w:rPr>
        <w:t>e (as defined in the  Letter  of Employment)  on  a  regular basis. These employees are required to be paid overtime in accordance with applicable federal wage and hour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laws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rate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time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one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half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(1.5)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times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their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regular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rate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pay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each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hour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worked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over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40 hours 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week.</w:t>
      </w:r>
    </w:p>
    <w:p w:rsidR="00D434BD" w:rsidRDefault="00D434BD">
      <w:pPr>
        <w:pStyle w:val="BodyText"/>
        <w:spacing w:before="4"/>
      </w:pPr>
    </w:p>
    <w:p w:rsidR="00D434BD" w:rsidRDefault="00540C6B">
      <w:pPr>
        <w:pStyle w:val="Heading1"/>
      </w:pPr>
      <w:r>
        <w:rPr>
          <w:color w:val="212121"/>
        </w:rPr>
        <w:t>Regular Full-Time, Partial Year, Non-Teaching Employees (Hourly; Non-Exempt)</w:t>
      </w:r>
    </w:p>
    <w:p w:rsidR="00D434BD" w:rsidRDefault="00540C6B">
      <w:pPr>
        <w:pStyle w:val="BodyText"/>
        <w:ind w:left="100" w:right="114"/>
        <w:jc w:val="both"/>
      </w:pPr>
      <w:r>
        <w:rPr>
          <w:color w:val="212121"/>
        </w:rPr>
        <w:t>Employees whose primary responsibility and duty is other than teaching and facilitation of learning in a classroom and works the required schedu</w:t>
      </w:r>
      <w:r>
        <w:rPr>
          <w:color w:val="212121"/>
        </w:rPr>
        <w:t>le (as defined in the  Letter  of Employment)  on  a  regular basis. These employees are required to be paid overtime in accordance with applicable federal wage and hour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laws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rate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time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one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half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(1.5)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times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their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regular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rate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pay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each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</w:t>
      </w:r>
      <w:r>
        <w:rPr>
          <w:color w:val="212121"/>
        </w:rPr>
        <w:t>our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worked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over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40 hours 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week.</w:t>
      </w:r>
    </w:p>
    <w:p w:rsidR="00D434BD" w:rsidRDefault="00D434BD">
      <w:pPr>
        <w:pStyle w:val="BodyText"/>
        <w:spacing w:before="1"/>
      </w:pPr>
      <w:bookmarkStart w:id="0" w:name="_GoBack"/>
      <w:bookmarkEnd w:id="0"/>
    </w:p>
    <w:p w:rsidR="00D434BD" w:rsidRDefault="00540C6B">
      <w:pPr>
        <w:pStyle w:val="Heading1"/>
        <w:spacing w:line="251" w:lineRule="exact"/>
      </w:pPr>
      <w:r>
        <w:rPr>
          <w:color w:val="212121"/>
        </w:rPr>
        <w:t>Regular Part-Time, Teaching Employees (Hourly; Non-Exempt)</w:t>
      </w:r>
    </w:p>
    <w:p w:rsidR="00D434BD" w:rsidRDefault="00540C6B">
      <w:pPr>
        <w:pStyle w:val="BodyText"/>
        <w:ind w:left="100" w:right="114"/>
        <w:jc w:val="both"/>
      </w:pPr>
      <w:r>
        <w:rPr>
          <w:color w:val="212121"/>
        </w:rPr>
        <w:t>Employees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whose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primary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responsibility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duty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the teaching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facilitation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learning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classroom and works fewer than thirty (30) hours per week (as defined in the Letter of Employment) on a regular basis. These employees are required to be paid overtime in accordance with applicable federal wage and hour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laws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rate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time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one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hal</w:t>
      </w:r>
      <w:r>
        <w:rPr>
          <w:color w:val="212121"/>
        </w:rPr>
        <w:t>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(1.5)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times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their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regular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rate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pay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each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hour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worked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over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40 hours 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week.</w:t>
      </w:r>
    </w:p>
    <w:p w:rsidR="00D434BD" w:rsidRDefault="00D434BD">
      <w:pPr>
        <w:pStyle w:val="BodyText"/>
        <w:spacing w:before="2"/>
      </w:pPr>
    </w:p>
    <w:p w:rsidR="00540C6B" w:rsidRDefault="00540C6B" w:rsidP="00540C6B">
      <w:pPr>
        <w:rPr>
          <w:b/>
          <w:bCs/>
        </w:rPr>
      </w:pPr>
      <w:r>
        <w:rPr>
          <w:b/>
          <w:bCs/>
        </w:rPr>
        <w:t xml:space="preserve"> Regular Part-Time, </w:t>
      </w:r>
      <w:r w:rsidRPr="00540C6B">
        <w:rPr>
          <w:b/>
          <w:bCs/>
        </w:rPr>
        <w:t xml:space="preserve">Cred or Non Cred, Non-Teaching Employees (Hourly; Non-Exempt)   </w:t>
      </w:r>
    </w:p>
    <w:p w:rsidR="00540C6B" w:rsidRDefault="00540C6B" w:rsidP="00540C6B">
      <w:r>
        <w:t xml:space="preserve"> </w:t>
      </w:r>
      <w:r>
        <w:t xml:space="preserve">Employees whose primary responsibility and duty is other than teaching and facilitation of learning in a   </w:t>
      </w:r>
    </w:p>
    <w:p w:rsidR="00540C6B" w:rsidRDefault="00540C6B" w:rsidP="00540C6B">
      <w:r>
        <w:t xml:space="preserve"> </w:t>
      </w:r>
      <w:r>
        <w:t xml:space="preserve">classroom and works fewer than thirty (30) hours per week (as defined in the Letter of Employment) on a  </w:t>
      </w:r>
    </w:p>
    <w:p w:rsidR="00540C6B" w:rsidRDefault="00540C6B" w:rsidP="00540C6B">
      <w:r>
        <w:t xml:space="preserve"> </w:t>
      </w:r>
      <w:r>
        <w:t>regular</w:t>
      </w:r>
      <w:r>
        <w:rPr>
          <w:spacing w:val="-11"/>
        </w:rPr>
        <w:t xml:space="preserve"> </w:t>
      </w:r>
      <w:r>
        <w:t>basis.</w:t>
      </w:r>
      <w:r>
        <w:rPr>
          <w:spacing w:val="-4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employees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paid</w:t>
      </w:r>
      <w:r>
        <w:rPr>
          <w:spacing w:val="-12"/>
        </w:rPr>
        <w:t xml:space="preserve"> </w:t>
      </w:r>
      <w:r>
        <w:t>overtime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accordance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applicable</w:t>
      </w:r>
      <w:r>
        <w:rPr>
          <w:spacing w:val="-12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 xml:space="preserve">wage </w:t>
      </w:r>
    </w:p>
    <w:p w:rsidR="00540C6B" w:rsidRDefault="00540C6B" w:rsidP="00540C6B">
      <w:r>
        <w:t xml:space="preserve"> </w:t>
      </w:r>
      <w:r>
        <w:t>and</w:t>
      </w:r>
      <w:r>
        <w:rPr>
          <w:spacing w:val="-8"/>
        </w:rPr>
        <w:t xml:space="preserve"> </w:t>
      </w:r>
      <w:r>
        <w:t>hour</w:t>
      </w:r>
      <w:r>
        <w:rPr>
          <w:spacing w:val="-8"/>
        </w:rPr>
        <w:t xml:space="preserve"> </w:t>
      </w:r>
      <w:r>
        <w:t>laws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rate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half</w:t>
      </w:r>
      <w:r>
        <w:rPr>
          <w:spacing w:val="-7"/>
        </w:rPr>
        <w:t xml:space="preserve"> </w:t>
      </w:r>
      <w:r>
        <w:t>(1.5)</w:t>
      </w:r>
      <w:r>
        <w:rPr>
          <w:spacing w:val="-8"/>
        </w:rPr>
        <w:t xml:space="preserve"> </w:t>
      </w:r>
      <w:r>
        <w:t>times</w:t>
      </w:r>
      <w:r>
        <w:rPr>
          <w:spacing w:val="-8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rate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pay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hour</w:t>
      </w:r>
      <w:r>
        <w:rPr>
          <w:spacing w:val="-8"/>
        </w:rPr>
        <w:t xml:space="preserve"> </w:t>
      </w:r>
      <w:r>
        <w:t>worked</w:t>
      </w:r>
      <w:r>
        <w:rPr>
          <w:spacing w:val="-8"/>
        </w:rPr>
        <w:t xml:space="preserve"> </w:t>
      </w:r>
      <w:r>
        <w:t xml:space="preserve">over </w:t>
      </w:r>
    </w:p>
    <w:p w:rsidR="00D434BD" w:rsidRDefault="00540C6B" w:rsidP="00540C6B">
      <w:r>
        <w:t xml:space="preserve"> </w:t>
      </w:r>
      <w:r>
        <w:t>40 hours a</w:t>
      </w:r>
      <w:r>
        <w:rPr>
          <w:spacing w:val="-1"/>
        </w:rPr>
        <w:t xml:space="preserve"> </w:t>
      </w:r>
      <w:r>
        <w:t>week.</w:t>
      </w:r>
    </w:p>
    <w:p w:rsidR="00D434BD" w:rsidRDefault="00D434BD">
      <w:pPr>
        <w:pStyle w:val="BodyText"/>
        <w:spacing w:before="2"/>
      </w:pPr>
    </w:p>
    <w:p w:rsidR="00D434BD" w:rsidRDefault="00540C6B">
      <w:pPr>
        <w:pStyle w:val="Heading1"/>
        <w:spacing w:line="251" w:lineRule="exact"/>
      </w:pPr>
      <w:r>
        <w:rPr>
          <w:color w:val="212121"/>
        </w:rPr>
        <w:t>Temporary Full or Part-Time, Salary or Hourly Employees (Exempt or Non-Exempt)</w:t>
      </w:r>
    </w:p>
    <w:p w:rsidR="00D434BD" w:rsidRDefault="00540C6B">
      <w:pPr>
        <w:pStyle w:val="BodyText"/>
        <w:ind w:left="100" w:right="116"/>
        <w:jc w:val="both"/>
      </w:pPr>
      <w:r>
        <w:rPr>
          <w:color w:val="212121"/>
        </w:rPr>
        <w:t xml:space="preserve">Employees engaged to work full-time or part-time on GWA's payroll with the understanding that their employment   is only temporary   in   nature   and   will   end   no   later </w:t>
      </w:r>
      <w:r>
        <w:rPr>
          <w:color w:val="212121"/>
        </w:rPr>
        <w:t xml:space="preserve">  than   upon   the   completion   of a specific assignment 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duty.</w:t>
      </w:r>
    </w:p>
    <w:sectPr w:rsidR="00D434BD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434BD"/>
    <w:rsid w:val="00540C6B"/>
    <w:rsid w:val="00D4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6EDBF0-DD44-43B9-A3FD-317EF753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50" w:lineRule="exact"/>
      <w:ind w:left="10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Wilson Raschke</dc:creator>
  <cp:lastModifiedBy>Cathy Gudmundsen</cp:lastModifiedBy>
  <cp:revision>2</cp:revision>
  <dcterms:created xsi:type="dcterms:W3CDTF">2018-03-07T15:29:00Z</dcterms:created>
  <dcterms:modified xsi:type="dcterms:W3CDTF">2018-03-07T15:34:00Z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2018-03-07T00:00:00Z</vt:filetime>
  </property>
</Properties>
</file>